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Honiton and Sidmouth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Honiton and Sidmouth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Honiton and Sidmouth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Honiton and Sidmouth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Honiton and Sidmouth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Honiton and Sidmouth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Honiton and Sidmouth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Honiton and Sidmouth is estimated to be </w:t>
      </w:r>
      <w:r w:rsidRPr="00773DF7">
        <w:rPr>
          <w:rFonts w:ascii="Libre Franklin Light" w:eastAsia="Times New Roman" w:hAnsi="Libre Franklin Light" w:cs="Calibri Light"/>
          <w:b/>
          <w:bCs/>
          <w:color w:val="C45911" w:themeColor="accent2" w:themeShade="BF"/>
        </w:rPr>
        <w:t xml:space="preserve">£757,957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Honiton and Sidmouth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Honiton and Sidmouth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Honiton and Sidmouth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Honiton and Sidmouth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oniton and Sidm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Honiton and Sidmouth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oniton and Sidm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Honiton and Sidmouth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Honiton and Sidmouth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oniton and Sidm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Honiton and Sidmouth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Honiton and Sidmouth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Honiton and Sidmouth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Honiton and Sidmouth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Honiton and Sidmouth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Honiton and Sidmouth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£757,957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Honiton and Sidmouth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£12,346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£255,320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£18,290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£5,144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£9,431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£457,426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£757,957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Honiton and Sidmouth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Honiton and Sidmouth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Honiton and Sidmouth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Honiton and Sidmouth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Honiton and Sidmouth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Honiton and Sidmouth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Honiton and Sidmouth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Honiton and Sidmouth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Honiton and Sidmouth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Honiton and Sidmouth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Honiton and Sidmouth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Honiton and Sidmouth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51FC765-9272-407E-BA7B-E7B70A56C55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